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center" w:pos="4410"/>
          <w:tab w:val="left" w:pos="6735"/>
        </w:tabs>
        <w:spacing w:line="480" w:lineRule="auto"/>
        <w:jc w:val="center"/>
        <w:outlineLvl w:val="1"/>
        <w:rPr>
          <w:rFonts w:ascii="宋体" w:hAnsi="宋体" w:cs="宋体"/>
          <w:b/>
          <w:kern w:val="0"/>
          <w:sz w:val="32"/>
          <w:szCs w:val="32"/>
        </w:rPr>
      </w:pPr>
      <w:r>
        <w:rPr>
          <w:rFonts w:hint="eastAsia" w:ascii="宋体" w:hAnsi="宋体" w:cs="宋体"/>
          <w:b/>
          <w:kern w:val="0"/>
          <w:sz w:val="32"/>
          <w:szCs w:val="32"/>
        </w:rPr>
        <w:t>项目需求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9"/>
        <w:gridCol w:w="1591"/>
        <w:gridCol w:w="1012"/>
        <w:gridCol w:w="51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46" w:type="dxa"/>
            <w:gridSpan w:val="4"/>
            <w:vAlign w:val="center"/>
          </w:tcPr>
          <w:p>
            <w:pPr>
              <w:pStyle w:val="2"/>
              <w:spacing w:after="0" w:line="400" w:lineRule="exact"/>
              <w:rPr>
                <w:rFonts w:ascii="宋体" w:hAnsi="宋体"/>
              </w:rPr>
            </w:pPr>
            <w:r>
              <w:rPr>
                <w:rFonts w:ascii="宋体" w:hAnsi="宋体"/>
                <w:b/>
              </w:rPr>
              <w:t>一、项目要求及技术需求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1" w:type="dxa"/>
            <w:vAlign w:val="center"/>
          </w:tcPr>
          <w:p>
            <w:pPr>
              <w:pStyle w:val="2"/>
              <w:spacing w:after="0" w:line="400" w:lineRule="exact"/>
              <w:rPr>
                <w:rFonts w:ascii="宋体" w:hAnsi="宋体"/>
              </w:rPr>
            </w:pPr>
            <w:r>
              <w:rPr>
                <w:rFonts w:ascii="宋体" w:hAnsi="宋体"/>
                <w:b/>
              </w:rPr>
              <w:t>项号</w:t>
            </w:r>
          </w:p>
        </w:tc>
        <w:tc>
          <w:tcPr>
            <w:tcW w:w="1973" w:type="dxa"/>
            <w:vAlign w:val="center"/>
          </w:tcPr>
          <w:p>
            <w:pPr>
              <w:pStyle w:val="2"/>
              <w:spacing w:after="0" w:line="400" w:lineRule="exact"/>
              <w:rPr>
                <w:rFonts w:ascii="宋体" w:hAnsi="宋体"/>
              </w:rPr>
            </w:pPr>
            <w:r>
              <w:rPr>
                <w:rFonts w:ascii="宋体" w:hAnsi="宋体"/>
                <w:b/>
              </w:rPr>
              <w:t>服务名称</w:t>
            </w:r>
          </w:p>
        </w:tc>
        <w:tc>
          <w:tcPr>
            <w:tcW w:w="1203" w:type="dxa"/>
            <w:vAlign w:val="center"/>
          </w:tcPr>
          <w:p>
            <w:pPr>
              <w:pStyle w:val="2"/>
              <w:spacing w:after="0" w:line="400" w:lineRule="exact"/>
              <w:rPr>
                <w:rFonts w:ascii="宋体" w:hAnsi="宋体"/>
              </w:rPr>
            </w:pPr>
            <w:r>
              <w:rPr>
                <w:rFonts w:ascii="宋体" w:hAnsi="宋体"/>
                <w:b/>
              </w:rPr>
              <w:t>数量</w:t>
            </w:r>
          </w:p>
        </w:tc>
        <w:tc>
          <w:tcPr>
            <w:tcW w:w="6429" w:type="dxa"/>
            <w:vAlign w:val="center"/>
          </w:tcPr>
          <w:p>
            <w:pPr>
              <w:pStyle w:val="2"/>
              <w:spacing w:after="0" w:line="400" w:lineRule="exact"/>
              <w:rPr>
                <w:rFonts w:ascii="宋体" w:hAnsi="宋体"/>
                <w:b/>
                <w:color w:val="FF0000"/>
              </w:rPr>
            </w:pPr>
            <w:r>
              <w:rPr>
                <w:rFonts w:hint="eastAsia" w:ascii="宋体" w:hAnsi="宋体"/>
                <w:b/>
                <w:color w:val="FF0000"/>
              </w:rPr>
              <w:t>服务内容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1" w:type="dxa"/>
            <w:vAlign w:val="center"/>
          </w:tcPr>
          <w:p>
            <w:pPr>
              <w:pStyle w:val="2"/>
              <w:spacing w:after="0" w:line="400" w:lineRule="exac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</w:t>
            </w:r>
          </w:p>
        </w:tc>
        <w:tc>
          <w:tcPr>
            <w:tcW w:w="1973" w:type="dxa"/>
            <w:vAlign w:val="center"/>
          </w:tcPr>
          <w:p>
            <w:pPr>
              <w:pStyle w:val="8"/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灵渠保护与利用提升规划编制服务采购</w:t>
            </w:r>
          </w:p>
        </w:tc>
        <w:tc>
          <w:tcPr>
            <w:tcW w:w="1203" w:type="dxa"/>
            <w:vAlign w:val="center"/>
          </w:tcPr>
          <w:p>
            <w:pPr>
              <w:pStyle w:val="2"/>
              <w:spacing w:after="0" w:line="400" w:lineRule="exac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 项</w:t>
            </w:r>
          </w:p>
        </w:tc>
        <w:tc>
          <w:tcPr>
            <w:tcW w:w="6429" w:type="dxa"/>
            <w:vAlign w:val="center"/>
          </w:tcPr>
          <w:p>
            <w:pPr>
              <w:pStyle w:val="8"/>
              <w:spacing w:line="400" w:lineRule="exact"/>
              <w:rPr>
                <w:b/>
                <w:bCs/>
                <w:color w:val="FF0000"/>
                <w:szCs w:val="21"/>
              </w:rPr>
            </w:pPr>
            <w:r>
              <w:rPr>
                <w:rFonts w:hint="eastAsia"/>
                <w:b/>
                <w:bCs/>
                <w:color w:val="FF0000"/>
                <w:szCs w:val="21"/>
              </w:rPr>
              <w:t>一、项目</w:t>
            </w:r>
            <w:r>
              <w:rPr>
                <w:rFonts w:hint="eastAsia"/>
                <w:b/>
                <w:bCs/>
                <w:color w:val="FF0000"/>
                <w:szCs w:val="21"/>
                <w:lang w:val="en-US"/>
              </w:rPr>
              <w:t>概况</w:t>
            </w:r>
          </w:p>
          <w:p>
            <w:pPr>
              <w:pStyle w:val="2"/>
              <w:spacing w:after="0" w:line="400" w:lineRule="exact"/>
              <w:rPr>
                <w:rFonts w:ascii="宋体" w:hAnsi="宋体" w:cs="宋体"/>
                <w:color w:val="FF0000"/>
                <w:szCs w:val="21"/>
              </w:rPr>
            </w:pPr>
            <w:r>
              <w:rPr>
                <w:rFonts w:hint="eastAsia" w:ascii="宋体" w:hAnsi="宋体" w:cs="宋体"/>
                <w:color w:val="FF0000"/>
                <w:szCs w:val="21"/>
              </w:rPr>
              <w:t>灵渠又名陡河或兴安运河、湘桂运河，位于广西兴安县境内，是连接湘江和漓水、长江流域和珠江流域、中原与岭南地区的一条古代运河，属于线性遗产资源，规划范围以《灵渠保护规划》（</w:t>
            </w:r>
            <w:bookmarkStart w:id="0" w:name="_GoBack"/>
            <w:bookmarkEnd w:id="0"/>
            <w:r>
              <w:rPr>
                <w:rFonts w:hint="eastAsia" w:ascii="宋体" w:hAnsi="宋体" w:cs="宋体"/>
                <w:color w:val="FF0000"/>
                <w:szCs w:val="21"/>
              </w:rPr>
              <w:t>地方评审稿）圈定的遗产区范围（756.29 公顷）、缓冲区范围（5187.69公顷）为基础，在临源岭南侧扩增6.96公顷，包括灵渠主体工程（渠首、南渠和北渠）以及灵渠两岸流经兴安镇、严关镇、溶江镇、湘漓镇的乡村、城镇、山水田园区域，总规划面积为 5950.94公顷。</w:t>
            </w:r>
          </w:p>
          <w:p>
            <w:pPr>
              <w:spacing w:line="400" w:lineRule="exact"/>
              <w:rPr>
                <w:rFonts w:ascii="宋体" w:hAnsi="宋体" w:cs="宋体"/>
                <w:b/>
                <w:bCs/>
                <w:color w:val="FF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FF0000"/>
                <w:szCs w:val="21"/>
              </w:rPr>
              <w:t>二、规划期限</w:t>
            </w:r>
          </w:p>
          <w:p>
            <w:pPr>
              <w:pStyle w:val="2"/>
              <w:spacing w:after="0" w:line="400" w:lineRule="exact"/>
              <w:rPr>
                <w:rFonts w:ascii="宋体" w:hAnsi="宋体" w:cs="宋体"/>
                <w:color w:val="FF0000"/>
                <w:szCs w:val="21"/>
              </w:rPr>
            </w:pPr>
            <w:r>
              <w:rPr>
                <w:rFonts w:hint="eastAsia" w:ascii="宋体" w:hAnsi="宋体" w:cs="宋体"/>
                <w:color w:val="FF0000"/>
                <w:szCs w:val="21"/>
              </w:rPr>
              <w:t>本规划期限为 2022-2030，共9年。</w:t>
            </w:r>
          </w:p>
          <w:p>
            <w:pPr>
              <w:spacing w:line="400" w:lineRule="exact"/>
              <w:rPr>
                <w:rFonts w:ascii="宋体" w:hAnsi="宋体"/>
                <w:b/>
                <w:bCs/>
                <w:color w:val="FF0000"/>
                <w:szCs w:val="21"/>
              </w:rPr>
            </w:pPr>
            <w:r>
              <w:rPr>
                <w:rFonts w:hint="eastAsia" w:ascii="宋体" w:hAnsi="宋体"/>
                <w:b/>
                <w:color w:val="FF0000"/>
                <w:szCs w:val="21"/>
              </w:rPr>
              <w:t>三、规划依据</w:t>
            </w:r>
          </w:p>
          <w:p>
            <w:pPr>
              <w:pStyle w:val="2"/>
              <w:spacing w:after="0" w:line="400" w:lineRule="exact"/>
              <w:rPr>
                <w:rFonts w:ascii="宋体" w:hAnsi="宋体"/>
                <w:color w:val="FF0000"/>
              </w:rPr>
            </w:pPr>
            <w:r>
              <w:rPr>
                <w:rFonts w:hint="eastAsia" w:ascii="宋体" w:hAnsi="宋体"/>
                <w:color w:val="FF0000"/>
              </w:rPr>
              <w:t>《中华人民共和国文物保护法》、《中华人民共和国水法》、《中华人民共和国城乡规划法》、《风景名胜区条例》、《全国重点文物保护单位保护规划编制要求》、《文化和旅游规划管理办法》、《广西壮族自治区灵渠保护办法》、《桂林市灵渠保护条例》等。</w:t>
            </w:r>
          </w:p>
          <w:p>
            <w:pPr>
              <w:pStyle w:val="2"/>
              <w:spacing w:after="0" w:line="400" w:lineRule="exact"/>
              <w:rPr>
                <w:rFonts w:ascii="宋体" w:hAnsi="宋体" w:cs="宋体"/>
                <w:b/>
                <w:color w:val="FF0000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FF0000"/>
                <w:szCs w:val="21"/>
              </w:rPr>
              <w:t>四、规划内容</w:t>
            </w:r>
          </w:p>
          <w:p>
            <w:pPr>
              <w:pStyle w:val="2"/>
              <w:spacing w:after="0" w:line="400" w:lineRule="exact"/>
              <w:rPr>
                <w:rFonts w:ascii="宋体" w:hAnsi="宋体"/>
                <w:color w:val="FF0000"/>
              </w:rPr>
            </w:pPr>
            <w:r>
              <w:rPr>
                <w:rFonts w:hint="eastAsia" w:ascii="宋体" w:hAnsi="宋体"/>
                <w:color w:val="FF0000"/>
              </w:rPr>
              <w:t>1.对灵渠保护与利用的现状、价值、制约因素及存在问题进行全面分析评价，提出针对性的解决思路和办法；</w:t>
            </w:r>
          </w:p>
          <w:p>
            <w:pPr>
              <w:pStyle w:val="2"/>
              <w:spacing w:after="0" w:line="400" w:lineRule="exact"/>
              <w:rPr>
                <w:rFonts w:ascii="宋体" w:hAnsi="宋体"/>
                <w:color w:val="FF0000"/>
              </w:rPr>
            </w:pPr>
            <w:r>
              <w:rPr>
                <w:rFonts w:hint="eastAsia" w:ascii="宋体" w:hAnsi="宋体"/>
                <w:color w:val="FF0000"/>
              </w:rPr>
              <w:t>2.根据灵渠保护条例、保护规划明确灵渠保护核心区范围、缓冲区范围、建设控制地带，依据相关法律法规落实灵渠保护管控的刚性要求；</w:t>
            </w:r>
          </w:p>
          <w:p>
            <w:pPr>
              <w:pStyle w:val="2"/>
              <w:spacing w:after="0" w:line="400" w:lineRule="exact"/>
              <w:rPr>
                <w:rFonts w:ascii="宋体" w:hAnsi="宋体"/>
                <w:color w:val="FF0000"/>
              </w:rPr>
            </w:pPr>
            <w:r>
              <w:rPr>
                <w:rFonts w:hint="eastAsia" w:ascii="宋体" w:hAnsi="宋体"/>
                <w:color w:val="FF0000"/>
              </w:rPr>
              <w:t>3.综合分析先进、典型的文化遗产保护利用案例，总结具有借鉴价值的发展理念、路径和模式；</w:t>
            </w:r>
          </w:p>
          <w:p>
            <w:pPr>
              <w:pStyle w:val="2"/>
              <w:spacing w:after="0" w:line="400" w:lineRule="exact"/>
              <w:rPr>
                <w:rFonts w:ascii="宋体" w:hAnsi="宋体"/>
                <w:color w:val="FF0000"/>
              </w:rPr>
            </w:pPr>
            <w:r>
              <w:rPr>
                <w:rFonts w:hint="eastAsia" w:ascii="宋体" w:hAnsi="宋体"/>
                <w:color w:val="FF0000"/>
              </w:rPr>
              <w:t>4.结合市场需求现状，综合分析客源结构、需求偏好，明确客源市场定位及项目建设思路；</w:t>
            </w:r>
          </w:p>
          <w:p>
            <w:pPr>
              <w:pStyle w:val="2"/>
              <w:spacing w:after="0" w:line="400" w:lineRule="exact"/>
              <w:rPr>
                <w:rFonts w:ascii="宋体" w:hAnsi="宋体"/>
                <w:color w:val="FF0000"/>
              </w:rPr>
            </w:pPr>
            <w:r>
              <w:rPr>
                <w:rFonts w:hint="eastAsia" w:ascii="宋体" w:hAnsi="宋体"/>
                <w:color w:val="FF0000"/>
              </w:rPr>
              <w:t>5.对接上位规划及重大决策明确灵渠开发利用的主题定位、发展思路、空间格局、功能结构、项目产品和土地需求，形成纲要性指导意见；</w:t>
            </w:r>
          </w:p>
          <w:p>
            <w:pPr>
              <w:pStyle w:val="2"/>
              <w:spacing w:after="0" w:line="400" w:lineRule="exact"/>
              <w:rPr>
                <w:rFonts w:ascii="宋体" w:hAnsi="宋体"/>
                <w:color w:val="FF0000"/>
              </w:rPr>
            </w:pPr>
            <w:r>
              <w:rPr>
                <w:rFonts w:hint="eastAsia" w:ascii="宋体" w:hAnsi="宋体"/>
                <w:color w:val="FF0000"/>
              </w:rPr>
              <w:t>6.综合分析灵渠沿岸一二三产业发展现状基础和机遇诉求，结合兴安县社会经济发展，提出一二三产融合发展思路、发展目标、整合路径以及建设需求；</w:t>
            </w:r>
          </w:p>
          <w:p>
            <w:pPr>
              <w:pStyle w:val="2"/>
              <w:spacing w:after="0" w:line="400" w:lineRule="exact"/>
              <w:rPr>
                <w:rFonts w:ascii="宋体" w:hAnsi="宋体"/>
                <w:color w:val="FF0000"/>
              </w:rPr>
            </w:pPr>
            <w:r>
              <w:rPr>
                <w:rFonts w:hint="eastAsia" w:ascii="宋体" w:hAnsi="宋体"/>
                <w:color w:val="FF0000"/>
              </w:rPr>
              <w:t>7.结合产业发展，根据市场需求和游客偏好，提出一系列主题鲜明、创新特色、富有市场吸引力、落地实操性强的产品项目；</w:t>
            </w:r>
          </w:p>
          <w:p>
            <w:pPr>
              <w:pStyle w:val="2"/>
              <w:spacing w:after="0" w:line="400" w:lineRule="exact"/>
              <w:rPr>
                <w:rFonts w:ascii="宋体" w:hAnsi="宋体"/>
                <w:color w:val="FF0000"/>
              </w:rPr>
            </w:pPr>
            <w:r>
              <w:rPr>
                <w:rFonts w:hint="eastAsia" w:ascii="宋体" w:hAnsi="宋体"/>
                <w:color w:val="FF0000"/>
              </w:rPr>
              <w:t>8.综合分析灵渠内外部交通现状的基础上，结合项目建设、设施建设的布局，合理规划布局交通系统走向、主要交通设施，设计游览线路；</w:t>
            </w:r>
          </w:p>
          <w:p>
            <w:pPr>
              <w:pStyle w:val="2"/>
              <w:spacing w:after="0" w:line="400" w:lineRule="exact"/>
              <w:rPr>
                <w:rFonts w:ascii="宋体" w:hAnsi="宋体"/>
                <w:color w:val="FF0000"/>
              </w:rPr>
            </w:pPr>
            <w:r>
              <w:rPr>
                <w:rFonts w:hint="eastAsia" w:ascii="宋体" w:hAnsi="宋体"/>
                <w:color w:val="FF0000"/>
              </w:rPr>
              <w:t>9.规划灵渠保护与利用需建设的相关基础设施、服务设施和附属设施；</w:t>
            </w:r>
          </w:p>
          <w:p>
            <w:pPr>
              <w:pStyle w:val="2"/>
              <w:spacing w:after="0" w:line="400" w:lineRule="exact"/>
              <w:rPr>
                <w:rFonts w:ascii="宋体" w:hAnsi="宋体"/>
                <w:color w:val="FF0000"/>
              </w:rPr>
            </w:pPr>
            <w:r>
              <w:rPr>
                <w:rFonts w:hint="eastAsia" w:ascii="宋体" w:hAnsi="宋体"/>
                <w:color w:val="FF0000"/>
              </w:rPr>
              <w:t>10.围绕灵渠文化脉络和项目产品功能，提炼灵渠文化产业发展的核心主题IP，塑造个性化品牌形象，提出灵渠推广营销宣传的策略、渠道、方式；</w:t>
            </w:r>
          </w:p>
          <w:p>
            <w:pPr>
              <w:pStyle w:val="2"/>
              <w:spacing w:after="0" w:line="400" w:lineRule="exact"/>
              <w:rPr>
                <w:rFonts w:ascii="宋体" w:hAnsi="宋体"/>
                <w:color w:val="FF0000"/>
              </w:rPr>
            </w:pPr>
            <w:r>
              <w:rPr>
                <w:rFonts w:hint="eastAsia" w:ascii="宋体" w:hAnsi="宋体"/>
                <w:color w:val="FF0000"/>
              </w:rPr>
              <w:t>11.从规划实施保障角度，进行管理规划、生态环境保护和景观环境规划，提出规划实施保障措施等；</w:t>
            </w:r>
          </w:p>
          <w:p>
            <w:pPr>
              <w:pStyle w:val="2"/>
              <w:spacing w:after="0" w:line="400" w:lineRule="exact"/>
              <w:rPr>
                <w:rFonts w:ascii="宋体" w:hAnsi="宋体"/>
                <w:color w:val="FF0000"/>
              </w:rPr>
            </w:pPr>
            <w:r>
              <w:rPr>
                <w:rFonts w:hint="eastAsia" w:ascii="宋体" w:hAnsi="宋体"/>
                <w:color w:val="FF0000"/>
              </w:rPr>
              <w:t>12.对开发建设进行总体投资及效益分析，提出具体明晰的阶段性分解目标和实施方案、策略与步骤。</w:t>
            </w:r>
          </w:p>
          <w:p>
            <w:pPr>
              <w:pStyle w:val="2"/>
              <w:spacing w:after="0" w:line="400" w:lineRule="exact"/>
              <w:rPr>
                <w:rFonts w:ascii="宋体" w:hAnsi="宋体"/>
                <w:color w:val="FF0000"/>
              </w:rPr>
            </w:pPr>
            <w:r>
              <w:rPr>
                <w:rFonts w:hint="eastAsia" w:ascii="宋体" w:hAnsi="宋体"/>
                <w:color w:val="FF0000"/>
              </w:rPr>
              <w:t>相关图件包括区位分析图、规划范围图、区域交通分析图、区域联动分析图、客源市场分析图、遗产保护现状分析图、遗产开发利用现状分析图、功能分区图、项目布局图、重要节点规划平面图、土地利用规划图、交通体系规划图、游览线路规划图、遗产保护规划图、展示管理规划图、公共服务设施规划图、配套基础设施规划图、景观风貌保护规划图、景观整治规划图、重点建筑效果示意图、公服设施提升示意图、分期建设规划图等。</w:t>
            </w:r>
          </w:p>
          <w:p>
            <w:pPr>
              <w:spacing w:line="400" w:lineRule="exact"/>
              <w:rPr>
                <w:rFonts w:ascii="宋体" w:hAnsi="宋体" w:cs="宋体"/>
                <w:b/>
                <w:bCs/>
                <w:color w:val="FF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FF0000"/>
                <w:szCs w:val="21"/>
              </w:rPr>
              <w:t>五、成果要求</w:t>
            </w:r>
          </w:p>
          <w:p>
            <w:pPr>
              <w:pStyle w:val="8"/>
              <w:spacing w:line="400" w:lineRule="exact"/>
              <w:rPr>
                <w:color w:val="FF0000"/>
                <w:spacing w:val="-6"/>
                <w:szCs w:val="21"/>
              </w:rPr>
            </w:pPr>
            <w:r>
              <w:rPr>
                <w:rFonts w:hint="eastAsia"/>
                <w:color w:val="FF0000"/>
                <w:szCs w:val="21"/>
              </w:rPr>
              <w:t>《灵渠保护与利用提升规划》说明书、图件，规划评审稿、规划最终稿纸质版成果各六套，电子版成果一套。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46" w:type="dxa"/>
            <w:gridSpan w:val="4"/>
            <w:vAlign w:val="center"/>
          </w:tcPr>
          <w:p>
            <w:pPr>
              <w:pStyle w:val="2"/>
              <w:spacing w:after="0" w:line="400" w:lineRule="exac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二、商务条款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46" w:type="dxa"/>
            <w:gridSpan w:val="4"/>
            <w:vAlign w:val="center"/>
          </w:tcPr>
          <w:p>
            <w:pPr>
              <w:pStyle w:val="2"/>
              <w:spacing w:after="0" w:line="400" w:lineRule="exac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（一）涉及项目的其他要求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14" w:type="dxa"/>
            <w:gridSpan w:val="2"/>
            <w:vAlign w:val="center"/>
          </w:tcPr>
          <w:p>
            <w:pPr>
              <w:pStyle w:val="2"/>
              <w:spacing w:after="0" w:line="400" w:lineRule="exac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采购预算价</w:t>
            </w:r>
          </w:p>
        </w:tc>
        <w:tc>
          <w:tcPr>
            <w:tcW w:w="7632" w:type="dxa"/>
            <w:gridSpan w:val="2"/>
            <w:vAlign w:val="center"/>
          </w:tcPr>
          <w:p>
            <w:pPr>
              <w:pStyle w:val="2"/>
              <w:spacing w:after="0" w:line="400" w:lineRule="exac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color w:val="FF0000"/>
                <w:spacing w:val="-6"/>
                <w:szCs w:val="21"/>
                <w:lang w:val="zh-CN" w:bidi="zh-CN"/>
              </w:rPr>
              <w:t>项目采购总预算为人民币 ：</w:t>
            </w:r>
            <w:r>
              <w:rPr>
                <w:rFonts w:hint="eastAsia" w:ascii="宋体" w:hAnsi="宋体" w:cs="宋体"/>
                <w:color w:val="FF0000"/>
                <w:spacing w:val="-6"/>
                <w:szCs w:val="21"/>
                <w:lang w:bidi="zh-CN"/>
              </w:rPr>
              <w:t>玖拾万元整</w:t>
            </w:r>
            <w:r>
              <w:rPr>
                <w:rFonts w:hint="eastAsia" w:ascii="宋体" w:hAnsi="宋体" w:cs="宋体"/>
                <w:color w:val="FF0000"/>
                <w:spacing w:val="-6"/>
                <w:szCs w:val="21"/>
                <w:lang w:val="zh-CN" w:bidi="zh-CN"/>
              </w:rPr>
              <w:t>（￥</w:t>
            </w:r>
            <w:r>
              <w:rPr>
                <w:rFonts w:hint="eastAsia" w:ascii="宋体" w:hAnsi="宋体" w:cs="宋体"/>
                <w:color w:val="FF0000"/>
                <w:spacing w:val="-6"/>
                <w:szCs w:val="21"/>
                <w:lang w:bidi="zh-CN"/>
              </w:rPr>
              <w:t>90</w:t>
            </w:r>
            <w:r>
              <w:rPr>
                <w:rFonts w:hint="eastAsia" w:ascii="宋体" w:hAnsi="宋体" w:cs="宋体"/>
                <w:color w:val="FF0000"/>
                <w:spacing w:val="-6"/>
                <w:szCs w:val="21"/>
                <w:lang w:val="zh-CN" w:bidi="zh-CN"/>
              </w:rPr>
              <w:t>0000.00），投标人的投标报价超出采购预算价的，其投标报价无效。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14" w:type="dxa"/>
            <w:gridSpan w:val="2"/>
            <w:vAlign w:val="center"/>
          </w:tcPr>
          <w:p>
            <w:pPr>
              <w:pStyle w:val="8"/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规范标准</w:t>
            </w:r>
          </w:p>
        </w:tc>
        <w:tc>
          <w:tcPr>
            <w:tcW w:w="7632" w:type="dxa"/>
            <w:gridSpan w:val="2"/>
            <w:vAlign w:val="center"/>
          </w:tcPr>
          <w:p>
            <w:pPr>
              <w:pStyle w:val="8"/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采购标的需执行的国家标准、行业标准、地方标准或者其他标准、规范。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14" w:type="dxa"/>
            <w:gridSpan w:val="2"/>
            <w:vAlign w:val="center"/>
          </w:tcPr>
          <w:p>
            <w:pPr>
              <w:pStyle w:val="8"/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采购标的验收标准</w:t>
            </w:r>
          </w:p>
        </w:tc>
        <w:tc>
          <w:tcPr>
            <w:tcW w:w="7632" w:type="dxa"/>
            <w:gridSpan w:val="2"/>
            <w:vAlign w:val="center"/>
          </w:tcPr>
          <w:p>
            <w:pPr>
              <w:pStyle w:val="8"/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按合同要求。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46" w:type="dxa"/>
            <w:gridSpan w:val="4"/>
            <w:vAlign w:val="center"/>
          </w:tcPr>
          <w:p>
            <w:pPr>
              <w:pStyle w:val="2"/>
              <w:spacing w:after="0" w:line="400" w:lineRule="exac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（二）售后服务要求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46" w:type="dxa"/>
            <w:gridSpan w:val="4"/>
            <w:vAlign w:val="center"/>
          </w:tcPr>
          <w:p>
            <w:pPr>
              <w:spacing w:line="400" w:lineRule="exact"/>
            </w:pPr>
            <w:r>
              <w:rPr>
                <w:rFonts w:hint="eastAsia"/>
                <w:color w:val="FF0000"/>
              </w:rPr>
              <w:t>成交供应商接到采购人电话后，30分钟内响应，2小时内到达现场面对面跟业主交流,并能及时解决采购人提出的问题。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46" w:type="dxa"/>
            <w:gridSpan w:val="4"/>
            <w:vAlign w:val="center"/>
          </w:tcPr>
          <w:p>
            <w:pPr>
              <w:pStyle w:val="2"/>
              <w:spacing w:after="0" w:line="400" w:lineRule="exact"/>
              <w:rPr>
                <w:rFonts w:ascii="宋体" w:hAnsi="宋体" w:cs="宋体"/>
                <w:color w:val="FF0000"/>
                <w:spacing w:val="-20"/>
                <w:szCs w:val="21"/>
              </w:rPr>
            </w:pPr>
            <w:r>
              <w:rPr>
                <w:rFonts w:hint="eastAsia" w:ascii="宋体" w:hAnsi="宋体" w:cs="宋体"/>
                <w:b/>
                <w:color w:val="FF0000"/>
                <w:szCs w:val="21"/>
              </w:rPr>
              <w:t>（三）其他商务条款要求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14" w:type="dxa"/>
            <w:gridSpan w:val="2"/>
            <w:vAlign w:val="center"/>
          </w:tcPr>
          <w:p>
            <w:pPr>
              <w:pStyle w:val="2"/>
              <w:spacing w:after="0" w:line="400" w:lineRule="exact"/>
              <w:rPr>
                <w:rFonts w:ascii="宋体" w:hAnsi="宋体" w:cs="宋体"/>
                <w:color w:val="FF0000"/>
                <w:szCs w:val="21"/>
              </w:rPr>
            </w:pPr>
            <w:r>
              <w:rPr>
                <w:rFonts w:hint="eastAsia" w:ascii="宋体" w:hAnsi="宋体" w:cs="宋体"/>
                <w:color w:val="FF0000"/>
                <w:szCs w:val="21"/>
              </w:rPr>
              <w:t>成果交付时间及地点</w:t>
            </w:r>
          </w:p>
        </w:tc>
        <w:tc>
          <w:tcPr>
            <w:tcW w:w="7632" w:type="dxa"/>
            <w:gridSpan w:val="2"/>
            <w:vAlign w:val="center"/>
          </w:tcPr>
          <w:p>
            <w:pPr>
              <w:pStyle w:val="2"/>
              <w:spacing w:after="0" w:line="400" w:lineRule="exact"/>
              <w:rPr>
                <w:rFonts w:ascii="宋体" w:hAnsi="宋体" w:cs="宋体"/>
                <w:color w:val="FF0000"/>
                <w:szCs w:val="21"/>
              </w:rPr>
            </w:pPr>
            <w:r>
              <w:rPr>
                <w:rFonts w:hint="eastAsia" w:ascii="宋体" w:hAnsi="宋体" w:cs="宋体"/>
                <w:color w:val="FF0000"/>
                <w:szCs w:val="21"/>
              </w:rPr>
              <w:t>成果交付时间：合同签订之日起80个工作日内提交最终成果稿；成果交付地点：采购人指定地点。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14" w:type="dxa"/>
            <w:gridSpan w:val="2"/>
            <w:vAlign w:val="center"/>
          </w:tcPr>
          <w:p>
            <w:pPr>
              <w:pStyle w:val="8"/>
              <w:spacing w:line="400" w:lineRule="exact"/>
              <w:rPr>
                <w:color w:val="FF0000"/>
                <w:spacing w:val="-6"/>
                <w:szCs w:val="21"/>
                <w:lang w:val="en-US"/>
              </w:rPr>
            </w:pPr>
            <w:r>
              <w:rPr>
                <w:rFonts w:hint="eastAsia"/>
                <w:color w:val="FF0000"/>
                <w:spacing w:val="-6"/>
                <w:szCs w:val="21"/>
              </w:rPr>
              <w:t>合同签订期</w:t>
            </w:r>
          </w:p>
        </w:tc>
        <w:tc>
          <w:tcPr>
            <w:tcW w:w="7632" w:type="dxa"/>
            <w:gridSpan w:val="2"/>
            <w:vAlign w:val="center"/>
          </w:tcPr>
          <w:p>
            <w:pPr>
              <w:pStyle w:val="8"/>
              <w:spacing w:line="400" w:lineRule="exact"/>
              <w:rPr>
                <w:color w:val="FF0000"/>
                <w:spacing w:val="-6"/>
                <w:szCs w:val="21"/>
              </w:rPr>
            </w:pPr>
            <w:r>
              <w:rPr>
                <w:rFonts w:hint="eastAsia"/>
                <w:color w:val="FF0000"/>
                <w:spacing w:val="-6"/>
                <w:szCs w:val="21"/>
              </w:rPr>
              <w:t>自成交通知书发出之日起10个工作日内。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14" w:type="dxa"/>
            <w:gridSpan w:val="2"/>
            <w:vAlign w:val="center"/>
          </w:tcPr>
          <w:p>
            <w:pPr>
              <w:pStyle w:val="8"/>
              <w:spacing w:line="400" w:lineRule="exact"/>
              <w:rPr>
                <w:color w:val="FF0000"/>
                <w:spacing w:val="-6"/>
                <w:szCs w:val="21"/>
              </w:rPr>
            </w:pPr>
            <w:r>
              <w:rPr>
                <w:rFonts w:hint="eastAsia"/>
                <w:color w:val="FF0000"/>
                <w:spacing w:val="-6"/>
                <w:szCs w:val="21"/>
              </w:rPr>
              <w:t>付款方式</w:t>
            </w:r>
          </w:p>
        </w:tc>
        <w:tc>
          <w:tcPr>
            <w:tcW w:w="7632" w:type="dxa"/>
            <w:gridSpan w:val="2"/>
            <w:vAlign w:val="center"/>
          </w:tcPr>
          <w:p>
            <w:pPr>
              <w:pStyle w:val="8"/>
              <w:spacing w:line="400" w:lineRule="exact"/>
              <w:rPr>
                <w:color w:val="FF0000"/>
                <w:spacing w:val="-6"/>
                <w:szCs w:val="21"/>
              </w:rPr>
            </w:pPr>
            <w:r>
              <w:rPr>
                <w:rFonts w:hint="eastAsia"/>
                <w:color w:val="FF0000"/>
                <w:spacing w:val="-6"/>
                <w:szCs w:val="21"/>
              </w:rPr>
              <w:t>1.合同签订生效后5个工作日内，甲方支付合同总额的40%；乙方提交规划成果征求意见稿后7个工作日内，甲方支付合同总额的40%；规划通过评审后7个工作日内，甲方支付合同总额的20％。</w:t>
            </w:r>
          </w:p>
          <w:p>
            <w:pPr>
              <w:pStyle w:val="8"/>
              <w:spacing w:line="400" w:lineRule="exact"/>
              <w:rPr>
                <w:color w:val="FF0000"/>
                <w:spacing w:val="-6"/>
                <w:szCs w:val="21"/>
              </w:rPr>
            </w:pPr>
            <w:r>
              <w:rPr>
                <w:rFonts w:hint="eastAsia"/>
                <w:color w:val="FF0000"/>
                <w:spacing w:val="-6"/>
                <w:szCs w:val="21"/>
              </w:rPr>
              <w:t>2.乙方在甲方支付服务费后 5个工作日内，向甲方提供合格有效增值税发票。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E2MTY5MzdjY2RlZjMxMGE0YTQ2ZDhjMmIzM2I4ODAifQ=="/>
  </w:docVars>
  <w:rsids>
    <w:rsidRoot w:val="00000000"/>
    <w:rsid w:val="5B361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</w:style>
  <w:style w:type="paragraph" w:customStyle="1" w:styleId="3">
    <w:name w:val="style4"/>
    <w:basedOn w:val="1"/>
    <w:next w:val="4"/>
    <w:qFormat/>
    <w:uiPriority w:val="0"/>
    <w:pPr>
      <w:widowControl/>
      <w:spacing w:before="280" w:after="280"/>
    </w:pPr>
    <w:rPr>
      <w:rFonts w:ascii="宋体"/>
      <w:sz w:val="18"/>
    </w:rPr>
  </w:style>
  <w:style w:type="paragraph" w:customStyle="1" w:styleId="4">
    <w:name w:val="2"/>
    <w:next w:val="1"/>
    <w:qFormat/>
    <w:uiPriority w:val="0"/>
    <w:pPr>
      <w:widowControl w:val="0"/>
      <w:jc w:val="both"/>
    </w:pPr>
    <w:rPr>
      <w:rFonts w:ascii="Calibri" w:hAnsi="Calibri" w:eastAsia="宋体" w:cs="Times New Roman"/>
      <w:sz w:val="21"/>
      <w:szCs w:val="22"/>
      <w:lang w:val="en-US" w:eastAsia="zh-CN" w:bidi="ar-SA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8">
    <w:name w:val="Table Paragraph"/>
    <w:basedOn w:val="1"/>
    <w:qFormat/>
    <w:uiPriority w:val="1"/>
    <w:rPr>
      <w:rFonts w:ascii="宋体" w:hAnsi="宋体" w:cs="宋体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2022-05-25T08:06:03Z</dcterms:created>
  <dc:creator>WLT103</dc:creator>
  <cp:lastModifiedBy>♛病魔成疯</cp:lastModifiedBy>
  <dcterms:modified xsi:type="dcterms:W3CDTF">2022-05-25T08:06:19Z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2F8EF6E93D4B4F1C8C17537307FAA9D2</vt:lpwstr>
  </property>
</Properties>
</file>