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10"/>
          <w:tab w:val="left" w:pos="6735"/>
        </w:tabs>
        <w:spacing w:line="480" w:lineRule="auto"/>
        <w:jc w:val="center"/>
        <w:outlineLvl w:val="1"/>
        <w:rPr>
          <w:rFonts w:ascii="宋体" w:hAnsi="宋体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32"/>
          <w:szCs w:val="32"/>
        </w:rPr>
        <w:t>项目需求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586"/>
        <w:gridCol w:w="1022"/>
        <w:gridCol w:w="5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6" w:type="dxa"/>
            <w:gridSpan w:val="4"/>
          </w:tcPr>
          <w:p>
            <w:pPr>
              <w:pStyle w:val="2"/>
            </w:pPr>
            <w:r>
              <w:rPr>
                <w:b/>
              </w:rPr>
              <w:t>一、项目要求及技术需求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pStyle w:val="2"/>
            </w:pPr>
            <w:r>
              <w:rPr>
                <w:b/>
              </w:rPr>
              <w:t>项号</w:t>
            </w:r>
          </w:p>
        </w:tc>
        <w:tc>
          <w:tcPr>
            <w:tcW w:w="1973" w:type="dxa"/>
          </w:tcPr>
          <w:p>
            <w:pPr>
              <w:pStyle w:val="2"/>
            </w:pPr>
            <w:r>
              <w:rPr>
                <w:b/>
              </w:rPr>
              <w:t>服务名称</w:t>
            </w:r>
          </w:p>
        </w:tc>
        <w:tc>
          <w:tcPr>
            <w:tcW w:w="1203" w:type="dxa"/>
          </w:tcPr>
          <w:p>
            <w:pPr>
              <w:pStyle w:val="2"/>
            </w:pPr>
            <w:r>
              <w:rPr>
                <w:b/>
              </w:rPr>
              <w:t>数量</w:t>
            </w:r>
          </w:p>
        </w:tc>
        <w:tc>
          <w:tcPr>
            <w:tcW w:w="6429" w:type="dxa"/>
          </w:tcPr>
          <w:p>
            <w:pPr>
              <w:pStyle w:val="2"/>
            </w:pPr>
            <w:r>
              <w:rPr>
                <w:b/>
              </w:rPr>
              <w:t>技术参数要求（包含功能目标、技术指标）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</w:trPr>
        <w:tc>
          <w:tcPr>
            <w:tcW w:w="841" w:type="dxa"/>
          </w:tcPr>
          <w:p>
            <w:pPr>
              <w:pStyle w:val="2"/>
              <w:spacing w:after="0" w:line="400" w:lineRule="exac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3" w:type="dxa"/>
          </w:tcPr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广西兴安县灵渠水街项目总体策划及概念设计服务采购</w:t>
            </w:r>
          </w:p>
        </w:tc>
        <w:tc>
          <w:tcPr>
            <w:tcW w:w="1203" w:type="dxa"/>
          </w:tcPr>
          <w:p>
            <w:pPr>
              <w:pStyle w:val="2"/>
              <w:spacing w:after="0" w:line="400" w:lineRule="exac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6429" w:type="dxa"/>
          </w:tcPr>
          <w:p>
            <w:pPr>
              <w:pStyle w:val="8"/>
              <w:spacing w:line="400" w:lineRule="exact"/>
              <w:rPr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服务内容：广西兴安县灵渠水街项目总体策划及概念设计服务采购</w:t>
            </w:r>
          </w:p>
          <w:p>
            <w:pPr>
              <w:pStyle w:val="8"/>
              <w:spacing w:line="400" w:lineRule="exact"/>
              <w:rPr>
                <w:b/>
                <w:bCs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line="400" w:lineRule="exact"/>
              <w:rPr>
                <w:b/>
                <w:bCs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一、项目概述</w:t>
            </w:r>
          </w:p>
          <w:p>
            <w:pPr>
              <w:pStyle w:val="8"/>
              <w:spacing w:line="400" w:lineRule="exact"/>
              <w:ind w:firstLine="420" w:firstLineChars="200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灵渠，同都江堰、郑国渠并称“秦代三大水利工程”。于公元前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214年凿通，沟通了湘江、漓江，联接了长江和珠江两大水系，打通了南北水上通道，目前已经纳入“世界灌溉工程遗产”名录，成功申报为国家AAAA级景区。</w:t>
            </w:r>
          </w:p>
          <w:p>
            <w:pPr>
              <w:pStyle w:val="8"/>
              <w:spacing w:line="400" w:lineRule="exact"/>
              <w:ind w:firstLine="420" w:firstLineChars="200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灵渠水街作为灵渠景区核心引擎项目之一，是灵渠历史文化、兴安县本土文化的重要载体和旅游体验地。在新时代背景下，如何充分挖掘灵渠的资源和文化，彰显兴安县人文底蕴、树立良好的市场形象、引领景区文旅产业的发展，打造区域文旅驱动核心，为下一步整个灵渠大景区再开发提供示范带动，是灵渠水街项目提升需解决的重要命题。在开发过程中应坚持“文化引领、以终为始，保护先行，有机更新”的理念，确保项目在推进实施过程中的文化调性与市场需求的统一，在规划设计、施工建设、运营等各阶段的无缝衔接，从而得以把控项目品质、形象进度始终如一。</w:t>
            </w:r>
          </w:p>
          <w:p>
            <w:pPr>
              <w:pStyle w:val="8"/>
              <w:spacing w:line="400" w:lineRule="exact"/>
              <w:ind w:firstLine="420" w:firstLineChars="200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为保证项目的提升顺利实施，需开展灵渠水街项目的前期策划和概念设计工作，明确以市场为导向的品牌形象、运营模式、产品设计与业态规划。</w:t>
            </w:r>
          </w:p>
          <w:p>
            <w:pPr>
              <w:pStyle w:val="8"/>
              <w:spacing w:line="400" w:lineRule="exact"/>
              <w:rPr>
                <w:b/>
                <w:bCs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二、服务期限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签订合同之日起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90日内完成。</w:t>
            </w:r>
          </w:p>
          <w:p>
            <w:pPr>
              <w:pStyle w:val="8"/>
              <w:spacing w:line="400" w:lineRule="exact"/>
              <w:rPr>
                <w:b/>
                <w:bCs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三、服务内容及要求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（一）服务原则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1、结合实际，合理计划，科学统筹；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2、充分准备，精心组织，规范实施；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3、周密部署，衔接有序，限时完成。 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（二）服务内容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第一部分、项目背景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1、政策背景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2、现状问题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3、资源禀赋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第二部分、文化研究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1、文化资源梳理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2、文化主题提炼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3、文化站位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4、文化活化利用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第三部分、市场研究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1、目标客群分析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2、市场消费力研究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3、竞合市场分析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4、项目突破点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5、SWOT分析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6、对标案例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第四部分、项目定位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1、总体定位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2、市场定位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3、客群定位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4、形象定位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5、功能定位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第五部分、商业业态产品策划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1、产品体系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2、空间布局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3、功能分区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4、业态落位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5、业态准入导则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6、交通动线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7、游线组织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第六部分、主力店策划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1、主力店定位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2、主力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店内容设计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3、主力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店品牌建议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4、管理模式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5、运营模式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6、盈利模式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第七部分、风貌及景观设计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现状分析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典型标准段街区立面改造设计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典型标准段街区景观改造设计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4、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典型标准段街区氛围改造设计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重点节点空间景观设计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重点节点空间氛围设计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7、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重点建筑改造概念立面设计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第八部分、品牌营销及活动推广方案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总体营销策略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项目品牌定位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3.  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Slogan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4.  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目标市场及客群定位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5.  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推广矩阵及实施路径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6.  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重点营销活动策划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 xml:space="preserve">7.  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近期营销推广计划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第九部分、开发策略及投入产出分析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1、开发计划与分期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2、运营模式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3、盈利模式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4、投资测算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5、损益</w:t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表分析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6、现金流分析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7、盈亏平衡点分析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8、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财务指标分析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9、</w:t>
            </w: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/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综合效益分析</w:t>
            </w:r>
          </w:p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:highlight w:val="none"/>
                <w:lang w:val="en-US" w:bidi="ar-SA"/>
                <w14:textFill>
                  <w14:solidFill>
                    <w14:schemeClr w14:val="tx1"/>
                  </w14:solidFill>
                </w14:textFill>
              </w:rPr>
              <w:t>10、风险分析及建议</w:t>
            </w:r>
          </w:p>
          <w:p>
            <w:pPr>
              <w:pStyle w:val="8"/>
              <w:spacing w:line="400" w:lineRule="exact"/>
              <w:rPr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auto"/>
              <w:rPr>
                <w:rFonts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四、成果要求</w:t>
            </w:r>
          </w:p>
          <w:p>
            <w:pPr>
              <w:pStyle w:val="8"/>
              <w:spacing w:line="400" w:lineRule="exact"/>
              <w:ind w:firstLine="420"/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全部成果均应提供电子文件和纸质文本（具体份数由双方协定），文</w:t>
            </w:r>
            <w:r>
              <w:rPr>
                <w:rFonts w:hint="eastAsia"/>
                <w:color w:val="000000" w:themeColor="text1"/>
                <w:spacing w:val="2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图表的内容应一致。电子文本采用</w:t>
            </w:r>
            <w:r>
              <w:rPr>
                <w:color w:val="000000" w:themeColor="text1"/>
                <w:spacing w:val="2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color w:val="000000" w:themeColor="text1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PowerPoint</w:t>
            </w:r>
            <w:r>
              <w:rPr>
                <w:rFonts w:hint="eastAsia"/>
                <w:color w:val="000000" w:themeColor="text1"/>
                <w:spacing w:val="-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格式或</w:t>
            </w:r>
            <w:r>
              <w:rPr>
                <w:color w:val="000000" w:themeColor="text1"/>
                <w:spacing w:val="-4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PDF</w:t>
            </w:r>
            <w:r>
              <w:rPr>
                <w:rFonts w:hint="eastAsia"/>
                <w:color w:val="000000" w:themeColor="text1"/>
                <w:spacing w:val="-4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文件。</w:t>
            </w:r>
          </w:p>
          <w:p>
            <w:pPr>
              <w:pStyle w:val="8"/>
              <w:spacing w:line="400" w:lineRule="exact"/>
              <w:rPr>
                <w:b/>
                <w:bCs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五、其他技术、服务要求</w:t>
            </w:r>
          </w:p>
          <w:p>
            <w:pPr>
              <w:pStyle w:val="8"/>
              <w:spacing w:line="400" w:lineRule="exact"/>
              <w:ind w:firstLine="420"/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1、成交人在项目实施过程当中须合理配置人员，提供好各项服务。供应商提供的各种服务均须满足国家现行相关规范（或标准）；</w:t>
            </w:r>
          </w:p>
          <w:p>
            <w:pPr>
              <w:pStyle w:val="8"/>
              <w:spacing w:line="400" w:lineRule="exact"/>
              <w:ind w:firstLine="420"/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2、服务内容中未尽事宜须满足国家及行业相关规范要求。</w:t>
            </w:r>
          </w:p>
          <w:p>
            <w:pPr>
              <w:pStyle w:val="8"/>
              <w:spacing w:line="400" w:lineRule="exact"/>
              <w:ind w:firstLine="420"/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3、成交人须接受采购人临时安排的与项目有关的工作。</w:t>
            </w:r>
          </w:p>
          <w:p>
            <w:pPr>
              <w:pStyle w:val="8"/>
              <w:spacing w:line="400" w:lineRule="exact"/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6" w:type="dxa"/>
            <w:gridSpan w:val="4"/>
          </w:tcPr>
          <w:p>
            <w:pPr>
              <w:pStyle w:val="2"/>
              <w:spacing w:after="0" w:line="400" w:lineRule="exac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二、商务条款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6" w:type="dxa"/>
            <w:gridSpan w:val="4"/>
          </w:tcPr>
          <w:p>
            <w:pPr>
              <w:pStyle w:val="2"/>
              <w:spacing w:after="0" w:line="400" w:lineRule="exac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（一）涉及项目的其他要求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</w:tcPr>
          <w:p>
            <w:pPr>
              <w:pStyle w:val="2"/>
              <w:spacing w:after="0" w:line="40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采购预算价</w:t>
            </w:r>
          </w:p>
        </w:tc>
        <w:tc>
          <w:tcPr>
            <w:tcW w:w="7632" w:type="dxa"/>
            <w:gridSpan w:val="2"/>
          </w:tcPr>
          <w:p>
            <w:pPr>
              <w:pStyle w:val="2"/>
              <w:spacing w:after="0" w:line="400" w:lineRule="exac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项目采购总预算为人民币</w:t>
            </w:r>
            <w:r>
              <w:rPr>
                <w:rFonts w:ascii="宋体" w:hAnsi="宋体" w:cs="宋体"/>
                <w:color w:val="000000" w:themeColor="text1"/>
                <w:spacing w:val="-6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  <w:highlight w:val="none"/>
                <w:lang w:bidi="zh-CN"/>
                <w14:textFill>
                  <w14:solidFill>
                    <w14:schemeClr w14:val="tx1"/>
                  </w14:solidFill>
                </w14:textFill>
              </w:rPr>
              <w:t>壹佰柒拾陆万元整</w:t>
            </w: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（￥</w:t>
            </w:r>
            <w:r>
              <w:rPr>
                <w:rFonts w:ascii="宋体" w:hAnsi="宋体" w:cs="宋体"/>
                <w:color w:val="000000" w:themeColor="text1"/>
                <w:spacing w:val="-6"/>
                <w:szCs w:val="21"/>
                <w:highlight w:val="none"/>
                <w:lang w:bidi="zh-CN"/>
                <w14:textFill>
                  <w14:solidFill>
                    <w14:schemeClr w14:val="tx1"/>
                  </w14:solidFill>
                </w14:textFill>
              </w:rPr>
              <w:t>1760000.00</w:t>
            </w: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），投标人的投标报价超出采购预算价的，其投标报价无效。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</w:tcPr>
          <w:p>
            <w:pPr>
              <w:pStyle w:val="8"/>
              <w:spacing w:line="400" w:lineRule="exact"/>
              <w:jc w:val="center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规范标准</w:t>
            </w:r>
          </w:p>
        </w:tc>
        <w:tc>
          <w:tcPr>
            <w:tcW w:w="7632" w:type="dxa"/>
            <w:gridSpan w:val="2"/>
          </w:tcPr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采购标的需执行的国家标准、行业标准、地方标准或者其他标准、规范。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</w:tcPr>
          <w:p>
            <w:pPr>
              <w:pStyle w:val="8"/>
              <w:spacing w:line="400" w:lineRule="exact"/>
              <w:jc w:val="center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采购标的验收标准</w:t>
            </w:r>
          </w:p>
        </w:tc>
        <w:tc>
          <w:tcPr>
            <w:tcW w:w="7632" w:type="dxa"/>
            <w:gridSpan w:val="2"/>
          </w:tcPr>
          <w:p>
            <w:pPr>
              <w:pStyle w:val="8"/>
              <w:spacing w:line="400" w:lineRule="exact"/>
              <w:rPr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按国家有关规定以及竞争性磋商文件的成果要求、乙方的响应文件及承诺与本合同约定标准进行验收。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6" w:type="dxa"/>
            <w:gridSpan w:val="4"/>
          </w:tcPr>
          <w:p>
            <w:pPr>
              <w:pStyle w:val="2"/>
              <w:spacing w:after="0" w:line="400" w:lineRule="exact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（二）售后服务要求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6" w:type="dxa"/>
            <w:gridSpan w:val="4"/>
          </w:tcPr>
          <w:p>
            <w:pPr>
              <w:pStyle w:val="2"/>
              <w:spacing w:after="0" w:line="400" w:lineRule="exact"/>
              <w:rPr>
                <w:rFonts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-6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自接到采购人服务期内电话时，</w:t>
            </w:r>
            <w:r>
              <w:rPr>
                <w:rFonts w:ascii="宋体" w:hAnsi="宋体" w:cs="宋体"/>
                <w:color w:val="000000" w:themeColor="text1"/>
                <w:spacing w:val="-6"/>
                <w:szCs w:val="21"/>
                <w:highlight w:val="none"/>
                <w:lang w:val="zh-CN" w:bidi="zh-CN"/>
                <w14:textFill>
                  <w14:solidFill>
                    <w14:schemeClr w14:val="tx1"/>
                  </w14:solidFill>
                </w14:textFill>
              </w:rPr>
              <w:t>1个小时内响应,24小时内到达现场,并在12小时内解决问题；以上服务所产生的所有费用由供应商承担；签订合同时落实专项人员队伍及人员名单和手机联系方式给采购人,如有人员变动的第一时间主动向采购人提交人员名单和联系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6" w:type="dxa"/>
            <w:gridSpan w:val="4"/>
          </w:tcPr>
          <w:p>
            <w:pPr>
              <w:pStyle w:val="2"/>
              <w:spacing w:after="0" w:line="400" w:lineRule="exact"/>
              <w:rPr>
                <w:rFonts w:ascii="宋体" w:hAnsi="宋体" w:cs="宋体"/>
                <w:color w:val="000000" w:themeColor="text1"/>
                <w:spacing w:val="-2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（三）其他商务条款要求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</w:tcPr>
          <w:p>
            <w:pPr>
              <w:pStyle w:val="2"/>
              <w:spacing w:after="0" w:line="400" w:lineRule="exact"/>
              <w:jc w:val="center"/>
              <w:rPr>
                <w:rFonts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成果交付时间及地点</w:t>
            </w:r>
          </w:p>
        </w:tc>
        <w:tc>
          <w:tcPr>
            <w:tcW w:w="7632" w:type="dxa"/>
            <w:gridSpan w:val="2"/>
          </w:tcPr>
          <w:p>
            <w:pPr>
              <w:pStyle w:val="2"/>
              <w:spacing w:after="0" w:line="400" w:lineRule="exact"/>
              <w:ind w:firstLine="420" w:firstLineChars="200"/>
              <w:rPr>
                <w:rFonts w:hint="default" w:ascii="宋体" w:hAnsi="宋体" w:eastAsia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由中标供应商与招标人自行商议决定。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</w:tcPr>
          <w:p>
            <w:pPr>
              <w:pStyle w:val="8"/>
              <w:spacing w:line="400" w:lineRule="exact"/>
              <w:ind w:firstLine="420"/>
              <w:rPr>
                <w:color w:val="000000" w:themeColor="text1"/>
                <w:spacing w:val="-6"/>
                <w:szCs w:val="21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质量要求</w:t>
            </w:r>
          </w:p>
        </w:tc>
        <w:tc>
          <w:tcPr>
            <w:tcW w:w="7632" w:type="dxa"/>
            <w:gridSpan w:val="2"/>
          </w:tcPr>
          <w:p>
            <w:pPr>
              <w:pStyle w:val="8"/>
              <w:spacing w:line="400" w:lineRule="exact"/>
              <w:ind w:firstLine="420"/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编制的成果文件须符合国家、行业、地方相关法律法规的规定，符合招标人需求。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14" w:type="dxa"/>
            <w:gridSpan w:val="2"/>
          </w:tcPr>
          <w:p>
            <w:pPr>
              <w:pStyle w:val="8"/>
              <w:spacing w:line="400" w:lineRule="exact"/>
              <w:ind w:firstLine="420"/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8"/>
              <w:spacing w:line="400" w:lineRule="exact"/>
              <w:ind w:firstLine="420"/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7632" w:type="dxa"/>
            <w:gridSpan w:val="2"/>
          </w:tcPr>
          <w:p>
            <w:pPr>
              <w:pStyle w:val="8"/>
              <w:spacing w:line="400" w:lineRule="exact"/>
              <w:ind w:firstLine="420"/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本项目按合同条款分阶段分期付款。</w:t>
            </w:r>
          </w:p>
          <w:p>
            <w:pPr>
              <w:pStyle w:val="8"/>
              <w:spacing w:line="400" w:lineRule="exact"/>
              <w:ind w:firstLine="420"/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第一阶段支付：自合同签订完成后</w:t>
            </w:r>
            <w:r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5 </w:t>
            </w:r>
            <w:r>
              <w:rPr>
                <w:rFonts w:hint="eastAsia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个工作日内支付中标合同签订金额的</w:t>
            </w:r>
            <w:r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40%</w:t>
            </w:r>
            <w:r>
              <w:rPr>
                <w:rFonts w:hint="eastAsia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8"/>
              <w:spacing w:line="400" w:lineRule="exact"/>
              <w:ind w:firstLine="420"/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第二阶段支付：提交成果初稿、甲方对成果无异议并收到乙方提交的发票后的</w:t>
            </w:r>
            <w:r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5个工作日内</w:t>
            </w:r>
            <w:r>
              <w:rPr>
                <w:rFonts w:hint="eastAsia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，支付中标合同签订金额的</w:t>
            </w:r>
            <w:r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40%</w:t>
            </w:r>
            <w:r>
              <w:rPr>
                <w:rFonts w:hint="eastAsia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8"/>
              <w:spacing w:line="400" w:lineRule="exact"/>
              <w:ind w:firstLine="420"/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第三阶段支付：终稿方案提交并经甲方审核通过，乙方提供增值税专用发票后</w:t>
            </w:r>
            <w:r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5个工作日内</w:t>
            </w:r>
            <w:r>
              <w:rPr>
                <w:rFonts w:hint="eastAsia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，支付中标合同签订金额的</w:t>
            </w:r>
            <w:r>
              <w:rPr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20%</w:t>
            </w:r>
            <w:r>
              <w:rPr>
                <w:rFonts w:hint="eastAsia"/>
                <w:color w:val="000000" w:themeColor="text1"/>
                <w:spacing w:val="-6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2MTY5MzdjY2RlZjMxMGE0YTQ2ZDhjMmIzM2I4ODAifQ=="/>
  </w:docVars>
  <w:rsids>
    <w:rsidRoot w:val="00000000"/>
    <w:rsid w:val="19D3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2022-05-26T02:49:41Z</dcterms:created>
  <dc:creator>WLT103</dc:creator>
  <cp:lastModifiedBy>♛病魔成疯</cp:lastModifiedBy>
  <dcterms:modified xsi:type="dcterms:W3CDTF">2022-05-26T02:50:51Z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ECFEFDDD20F1476D9D96652B0C5E6229</vt:lpwstr>
  </property>
</Properties>
</file>